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2D2A58">
        <w:rPr>
          <w:rFonts w:ascii="Times" w:hAnsi="Times"/>
          <w:color w:val="000000"/>
          <w:sz w:val="27"/>
          <w:szCs w:val="27"/>
        </w:rPr>
        <w:t>h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viator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sylwetkę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narzeczoną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  <w:shd w:val="clear" w:color="auto" w:fill="auto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Curriculum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vitae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Chłopów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proofErr w:type="spellStart"/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</w:t>
            </w:r>
            <w:proofErr w:type="spellStart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przeszłościoraz</w:t>
            </w:r>
            <w:proofErr w:type="spellEnd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odczytać </w:t>
            </w:r>
            <w:proofErr w:type="spellStart"/>
            <w:r w:rsidRPr="00084321">
              <w:rPr>
                <w:rFonts w:ascii="Times New Roman" w:hAnsi="Times New Roman"/>
                <w:sz w:val="20"/>
                <w:szCs w:val="20"/>
              </w:rPr>
              <w:t>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</w:t>
            </w:r>
            <w:proofErr w:type="spellEnd"/>
            <w:r w:rsidRPr="00AA223E">
              <w:rPr>
                <w:rFonts w:ascii="Times New Roman" w:hAnsi="Times New Roman"/>
                <w:sz w:val="20"/>
                <w:szCs w:val="20"/>
              </w:rPr>
              <w:t xml:space="preserve">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postrzegania instytucji małżeństwa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rozmowę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Dulscy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Emmę Bovary i Anielę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grupy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Skamander</w:t>
            </w:r>
            <w:proofErr w:type="spellEnd"/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Tłumie! </w:t>
            </w:r>
            <w:proofErr w:type="spellStart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Tymasz</w:t>
            </w:r>
            <w:proofErr w:type="spellEnd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Pawlikowskiej-Jasnorzewskiej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dom rodzinny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stosunek do rewolucji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Polski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wierszumitu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  <w:shd w:val="clear" w:color="auto" w:fill="auto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Hiper-Robociarza</w:t>
            </w:r>
            <w:proofErr w:type="spellEnd"/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ychologiczne motywacje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lnychgrup</w:t>
            </w:r>
            <w:proofErr w:type="spellEnd"/>
            <w:r w:rsidRPr="00244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Mileny </w:t>
            </w:r>
            <w:proofErr w:type="spellStart"/>
            <w:r w:rsidRPr="00244151">
              <w:rPr>
                <w:rFonts w:ascii="Times New Roman" w:hAnsi="Times New Roman"/>
                <w:sz w:val="20"/>
                <w:szCs w:val="20"/>
              </w:rPr>
              <w:t>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Kafkii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Woland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paralelizmów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proofErr w:type="spellStart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mowaprosta</w:t>
            </w:r>
            <w:proofErr w:type="spellEnd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człowieka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zlagrowanego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 xml:space="preserve">Gustawa </w:t>
            </w:r>
            <w:proofErr w:type="spellStart"/>
            <w:r w:rsidRPr="00C74819">
              <w:rPr>
                <w:rFonts w:ascii="Times New Roman" w:hAnsi="Times New Roman"/>
                <w:sz w:val="20"/>
                <w:szCs w:val="20"/>
              </w:rPr>
              <w:t>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rolę, jaką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Krall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8064D9">
        <w:rPr>
          <w:rFonts w:ascii="Times" w:hAnsi="Times"/>
          <w:b/>
          <w:bCs/>
          <w:color w:val="000000"/>
          <w:sz w:val="27"/>
          <w:szCs w:val="27"/>
        </w:rPr>
        <w:t xml:space="preserve">mgr </w:t>
      </w:r>
      <w:r w:rsidR="004766A9">
        <w:rPr>
          <w:rFonts w:ascii="Times" w:hAnsi="Times"/>
          <w:b/>
          <w:bCs/>
          <w:color w:val="000000"/>
          <w:sz w:val="27"/>
          <w:szCs w:val="27"/>
        </w:rPr>
        <w:t>M. Szewczuk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7073E3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506B33"/>
    <w:rsid w:val="002D2A58"/>
    <w:rsid w:val="003867B5"/>
    <w:rsid w:val="00441DC5"/>
    <w:rsid w:val="004766A9"/>
    <w:rsid w:val="004A08CB"/>
    <w:rsid w:val="00506B33"/>
    <w:rsid w:val="005D037E"/>
    <w:rsid w:val="005E3F21"/>
    <w:rsid w:val="00671122"/>
    <w:rsid w:val="007073E3"/>
    <w:rsid w:val="008064D9"/>
    <w:rsid w:val="00E15D64"/>
    <w:rsid w:val="00EF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7073E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73E3"/>
    <w:pPr>
      <w:spacing w:after="140"/>
    </w:pPr>
  </w:style>
  <w:style w:type="paragraph" w:styleId="Lista">
    <w:name w:val="List"/>
    <w:basedOn w:val="Tekstpodstawowy"/>
    <w:rsid w:val="007073E3"/>
    <w:rPr>
      <w:rFonts w:cs="Arial"/>
    </w:rPr>
  </w:style>
  <w:style w:type="paragraph" w:styleId="Legenda">
    <w:name w:val="caption"/>
    <w:basedOn w:val="Normalny"/>
    <w:qFormat/>
    <w:rsid w:val="007073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73E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073E3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11096</Words>
  <Characters>66577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PEAQ</dc:creator>
  <cp:lastModifiedBy>ILO</cp:lastModifiedBy>
  <cp:revision>2</cp:revision>
  <dcterms:created xsi:type="dcterms:W3CDTF">2025-09-02T09:35:00Z</dcterms:created>
  <dcterms:modified xsi:type="dcterms:W3CDTF">2025-09-02T09:35:00Z</dcterms:modified>
  <dc:language>pl-PL</dc:language>
</cp:coreProperties>
</file>